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4175" w14:textId="31C468D3" w:rsidR="004D5CF0" w:rsidRDefault="004D5CF0" w:rsidP="007F67DF">
      <w:pPr>
        <w:pStyle w:val="Default"/>
        <w:jc w:val="center"/>
        <w:rPr>
          <w:rFonts w:asciiTheme="minorHAnsi" w:hAnsiTheme="minorHAnsi"/>
          <w:sz w:val="22"/>
          <w:szCs w:val="22"/>
        </w:rPr>
      </w:pPr>
    </w:p>
    <w:p w14:paraId="6F60CCCC" w14:textId="77777777" w:rsidR="007F67DF" w:rsidRPr="00A6491A" w:rsidRDefault="007F67DF" w:rsidP="007F67DF">
      <w:pPr>
        <w:pStyle w:val="Default"/>
        <w:jc w:val="center"/>
        <w:rPr>
          <w:rFonts w:asciiTheme="minorHAnsi" w:hAnsiTheme="minorHAnsi"/>
          <w:b/>
          <w:bCs/>
          <w:color w:val="C00000"/>
          <w:sz w:val="48"/>
          <w:szCs w:val="48"/>
        </w:rPr>
      </w:pPr>
      <w:r w:rsidRPr="00A6491A">
        <w:rPr>
          <w:rFonts w:asciiTheme="minorHAnsi" w:hAnsiTheme="minorHAnsi"/>
          <w:b/>
          <w:bCs/>
          <w:color w:val="C00000"/>
          <w:sz w:val="48"/>
          <w:szCs w:val="48"/>
        </w:rPr>
        <w:t>Privacy Notice</w:t>
      </w:r>
    </w:p>
    <w:p w14:paraId="6F9DA697" w14:textId="0A3006B9" w:rsidR="007F67DF" w:rsidRDefault="008E4021" w:rsidP="007F67DF">
      <w:pPr>
        <w:pStyle w:val="Default"/>
        <w:jc w:val="center"/>
        <w:rPr>
          <w:rFonts w:asciiTheme="minorHAnsi" w:hAnsiTheme="minorHAnsi"/>
          <w:b/>
          <w:sz w:val="32"/>
          <w:szCs w:val="32"/>
        </w:rPr>
      </w:pPr>
      <w:r>
        <w:rPr>
          <w:rFonts w:asciiTheme="minorHAnsi" w:hAnsiTheme="minorHAnsi"/>
          <w:b/>
          <w:sz w:val="32"/>
          <w:szCs w:val="32"/>
        </w:rPr>
        <w:t>Gladstone House Surgery</w:t>
      </w:r>
    </w:p>
    <w:p w14:paraId="0E0CF20F" w14:textId="598EC539" w:rsidR="007F67DF" w:rsidRPr="00682AA8" w:rsidRDefault="008E4021" w:rsidP="007F67DF">
      <w:pPr>
        <w:pStyle w:val="Default"/>
        <w:jc w:val="center"/>
        <w:rPr>
          <w:rFonts w:asciiTheme="minorHAnsi" w:hAnsiTheme="minorHAnsi"/>
          <w:b/>
          <w:sz w:val="20"/>
          <w:szCs w:val="20"/>
        </w:rPr>
      </w:pPr>
      <w:r>
        <w:rPr>
          <w:rFonts w:asciiTheme="minorHAnsi" w:hAnsiTheme="minorHAnsi"/>
          <w:b/>
          <w:sz w:val="20"/>
          <w:szCs w:val="20"/>
        </w:rPr>
        <w:t>Gladstone House Surgery, The Health Centre, Victoria Road, Hartlepool, TS26 8DF</w:t>
      </w:r>
    </w:p>
    <w:p w14:paraId="69BB5D10" w14:textId="3FDE8EE9" w:rsidR="007F67DF" w:rsidRDefault="007F67DF" w:rsidP="00155A0B">
      <w:pPr>
        <w:pStyle w:val="Default"/>
        <w:rPr>
          <w:rFonts w:asciiTheme="minorHAnsi" w:hAnsiTheme="minorHAnsi"/>
          <w:sz w:val="22"/>
          <w:szCs w:val="22"/>
        </w:rPr>
      </w:pPr>
    </w:p>
    <w:p w14:paraId="729A291D" w14:textId="77777777" w:rsidR="007F67DF" w:rsidRPr="004B78FF" w:rsidRDefault="007F67DF"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w:t>
        </w:r>
        <w:r w:rsidR="002B435A" w:rsidRPr="00662A1D">
          <w:rPr>
            <w:rStyle w:val="Hyperlink"/>
            <w:rFonts w:eastAsia="Calibri" w:cs="Arial"/>
          </w:rPr>
          <w:lastRenderedPageBreak/>
          <w:t>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6F80FB5"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7F67DF">
        <w:rPr>
          <w:rFonts w:cs="Arial"/>
          <w:color w:val="333333"/>
        </w:rPr>
        <w:t>Dr Nicholas Timlin</w:t>
      </w:r>
      <w:r w:rsidRPr="00A93784">
        <w:rPr>
          <w:rFonts w:cs="Arial"/>
          <w:color w:val="333333"/>
        </w:rPr>
        <w:t>, who</w:t>
      </w:r>
      <w:r w:rsidRPr="00A93784">
        <w:rPr>
          <w:rFonts w:cs="Arial"/>
        </w:rPr>
        <w:t xml:space="preserve"> can be contacted using the contact details at the top of this document.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43C732F0" w14:textId="77777777" w:rsidR="005B2483" w:rsidRDefault="005B2483" w:rsidP="00E80D4A">
      <w:pPr>
        <w:pStyle w:val="Default"/>
        <w:jc w:val="both"/>
        <w:rPr>
          <w:rFonts w:asciiTheme="minorHAnsi" w:hAnsiTheme="minorHAnsi"/>
          <w:b/>
          <w:bCs/>
          <w:sz w:val="23"/>
          <w:szCs w:val="23"/>
        </w:rPr>
      </w:pPr>
    </w:p>
    <w:p w14:paraId="7E29959A" w14:textId="7E5952B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lastRenderedPageBreak/>
        <w:t xml:space="preserve">Child Health Information </w:t>
      </w:r>
    </w:p>
    <w:p w14:paraId="1C5D3E37" w14:textId="65D1D55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w:t>
      </w:r>
      <w:r w:rsidR="007F67DF">
        <w:rPr>
          <w:rFonts w:asciiTheme="minorHAnsi" w:hAnsiTheme="minorHAnsi"/>
          <w:sz w:val="22"/>
          <w:szCs w:val="22"/>
        </w:rPr>
        <w:t xml:space="preserve">North Tees &amp; Hartlepool </w:t>
      </w:r>
      <w:r w:rsidR="007F67DF" w:rsidRPr="00A93784">
        <w:rPr>
          <w:rFonts w:asciiTheme="minorHAnsi" w:hAnsiTheme="minorHAnsi"/>
          <w:sz w:val="22"/>
          <w:szCs w:val="22"/>
        </w:rPr>
        <w:t xml:space="preserve">NHS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69B79B40"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w:t>
      </w:r>
      <w:r w:rsidRPr="00A93784">
        <w:rPr>
          <w:rFonts w:asciiTheme="minorHAnsi" w:hAnsiTheme="minorHAnsi" w:cstheme="minorBidi"/>
          <w:color w:val="auto"/>
          <w:sz w:val="22"/>
          <w:szCs w:val="22"/>
        </w:rPr>
        <w:lastRenderedPageBreak/>
        <w:t>(</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007F67DF">
        <w:rPr>
          <w:rFonts w:asciiTheme="minorHAnsi" w:hAnsiTheme="minorHAnsi" w:cstheme="minorBidi"/>
          <w:color w:val="auto"/>
          <w:sz w:val="22"/>
          <w:szCs w:val="22"/>
        </w:rPr>
        <w:t>SystmOne</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A6491A"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509B90C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7F67DF">
        <w:rPr>
          <w:rFonts w:asciiTheme="minorHAnsi" w:hAnsiTheme="minorHAnsi"/>
          <w:sz w:val="22"/>
          <w:szCs w:val="22"/>
        </w:rPr>
        <w:t xml:space="preserve">North East &amp; North Cumbria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7F67DF">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4"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5"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lastRenderedPageBreak/>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22FAE624" w:rsid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1"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0E5BA7FB" w14:textId="6D4804CC" w:rsidR="005B2483" w:rsidRDefault="005B2483" w:rsidP="005509A0">
      <w:pPr>
        <w:spacing w:after="0" w:line="240" w:lineRule="auto"/>
        <w:jc w:val="both"/>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w:t>
      </w:r>
      <w:r w:rsidRPr="005509A0">
        <w:rPr>
          <w:rFonts w:eastAsia="Calibri" w:cs="Arial"/>
        </w:rPr>
        <w:lastRenderedPageBreak/>
        <w:t xml:space="preserve">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2"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342EE5DC" w14:textId="071856CE" w:rsidR="007F67DF" w:rsidRPr="007F67DF" w:rsidRDefault="005509A0" w:rsidP="007F67DF">
      <w:pPr>
        <w:spacing w:after="0" w:line="240" w:lineRule="auto"/>
        <w:jc w:val="both"/>
        <w:rPr>
          <w:rFonts w:eastAsia="Calibri" w:cs="Arial"/>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w:t>
      </w:r>
      <w:r w:rsidR="007F67DF">
        <w:rPr>
          <w:rFonts w:eastAsia="Calibri" w:cs="Arial"/>
        </w:rPr>
        <w:t xml:space="preserve">at </w:t>
      </w:r>
      <w:r w:rsidR="007F67DF" w:rsidRPr="007F67DF">
        <w:rPr>
          <w:rFonts w:eastAsia="Calibri" w:cs="Arial"/>
        </w:rPr>
        <w:t>North of England Commissioning Support</w:t>
      </w:r>
      <w:r w:rsidR="007F67DF">
        <w:rPr>
          <w:rFonts w:eastAsia="Calibri" w:cs="Arial"/>
        </w:rPr>
        <w:t xml:space="preserve">, </w:t>
      </w:r>
      <w:r w:rsidR="007F67DF" w:rsidRPr="007F67DF">
        <w:rPr>
          <w:rFonts w:eastAsia="Calibri" w:cs="Arial"/>
        </w:rPr>
        <w:t>John Snow House</w:t>
      </w:r>
      <w:r w:rsidR="007F67DF">
        <w:rPr>
          <w:rFonts w:eastAsia="Calibri" w:cs="Arial"/>
        </w:rPr>
        <w:t xml:space="preserve">, </w:t>
      </w:r>
      <w:r w:rsidR="007F67DF" w:rsidRPr="007F67DF">
        <w:rPr>
          <w:rFonts w:eastAsia="Calibri" w:cs="Arial"/>
        </w:rPr>
        <w:t>Durham University Science Park</w:t>
      </w:r>
      <w:r w:rsidR="007F67DF">
        <w:rPr>
          <w:rFonts w:eastAsia="Calibri" w:cs="Arial"/>
        </w:rPr>
        <w:t xml:space="preserve">, </w:t>
      </w:r>
      <w:r w:rsidR="007F67DF" w:rsidRPr="007F67DF">
        <w:rPr>
          <w:rFonts w:eastAsia="Calibri" w:cs="Arial"/>
        </w:rPr>
        <w:t>Stockton Road</w:t>
      </w:r>
      <w:r w:rsidR="007F67DF">
        <w:rPr>
          <w:rFonts w:eastAsia="Calibri" w:cs="Arial"/>
        </w:rPr>
        <w:t xml:space="preserve">, </w:t>
      </w:r>
      <w:r w:rsidR="007F67DF" w:rsidRPr="007F67DF">
        <w:rPr>
          <w:rFonts w:eastAsia="Calibri" w:cs="Arial"/>
        </w:rPr>
        <w:t xml:space="preserve">County </w:t>
      </w:r>
      <w:proofErr w:type="gramStart"/>
      <w:r w:rsidR="007F67DF" w:rsidRPr="007F67DF">
        <w:rPr>
          <w:rFonts w:eastAsia="Calibri" w:cs="Arial"/>
        </w:rPr>
        <w:t xml:space="preserve">Durham </w:t>
      </w:r>
      <w:r w:rsidR="007F67DF">
        <w:rPr>
          <w:rFonts w:eastAsia="Calibri" w:cs="Arial"/>
        </w:rPr>
        <w:t>,</w:t>
      </w:r>
      <w:proofErr w:type="gramEnd"/>
      <w:r w:rsidR="007F67DF">
        <w:rPr>
          <w:rFonts w:eastAsia="Calibri" w:cs="Arial"/>
        </w:rPr>
        <w:t xml:space="preserve"> </w:t>
      </w:r>
      <w:r w:rsidR="007F67DF" w:rsidRPr="007F67DF">
        <w:rPr>
          <w:rFonts w:eastAsia="Calibri" w:cs="Arial"/>
        </w:rPr>
        <w:t>DH1 3YG</w:t>
      </w:r>
    </w:p>
    <w:p w14:paraId="05C22F05" w14:textId="0634FC19" w:rsidR="005509A0" w:rsidRPr="004B78FF" w:rsidRDefault="005509A0" w:rsidP="00A93784">
      <w:pPr>
        <w:spacing w:after="0" w:line="240" w:lineRule="auto"/>
        <w:jc w:val="both"/>
        <w:rPr>
          <w:b/>
          <w:bCs/>
          <w:sz w:val="28"/>
          <w:szCs w:val="28"/>
        </w:rPr>
      </w:pP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lastRenderedPageBreak/>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4841CEDF" w:rsidR="005509A0" w:rsidRDefault="005509A0" w:rsidP="005509A0">
      <w:pPr>
        <w:spacing w:after="0" w:line="240" w:lineRule="auto"/>
        <w:jc w:val="both"/>
        <w:rPr>
          <w:sz w:val="23"/>
          <w:szCs w:val="23"/>
        </w:rPr>
      </w:pPr>
    </w:p>
    <w:p w14:paraId="1FAA0E6A" w14:textId="0D07D919" w:rsidR="005B2483" w:rsidRPr="005B2483" w:rsidRDefault="005B2483" w:rsidP="005509A0">
      <w:pPr>
        <w:spacing w:after="0" w:line="240" w:lineRule="auto"/>
        <w:jc w:val="both"/>
        <w:rPr>
          <w:b/>
          <w:bCs/>
          <w:sz w:val="28"/>
          <w:szCs w:val="28"/>
        </w:rPr>
      </w:pPr>
      <w:r w:rsidRPr="005B2483">
        <w:rPr>
          <w:b/>
          <w:bCs/>
          <w:sz w:val="28"/>
          <w:szCs w:val="28"/>
        </w:rPr>
        <w:t>Patient Online access – NHS App</w:t>
      </w:r>
    </w:p>
    <w:p w14:paraId="1FDA66B7" w14:textId="17909247" w:rsidR="005B2483" w:rsidRDefault="005B2483" w:rsidP="005509A0">
      <w:pPr>
        <w:spacing w:after="0" w:line="240" w:lineRule="auto"/>
        <w:jc w:val="both"/>
        <w:rPr>
          <w:sz w:val="23"/>
          <w:szCs w:val="23"/>
        </w:rPr>
      </w:pPr>
      <w:r w:rsidRPr="005B2483">
        <w:rPr>
          <w:sz w:val="23"/>
          <w:szCs w:val="23"/>
        </w:rPr>
        <w:t>If you’re a patient at our practice you can now use the NHS App, a simple and secure way to book appointments, order repeat prescriptions, view your GP health record, update your contact details and more. The NHS App gives you more control over your health and care and enables you to access your GP medical record securely. This means you can see it when speaking to a health and care professional, for example. Owned and run by the NHS the app is designed and operated by the NHS in England to give you access to a range of services. We will carefully check your identity when you register for the app, which is secure and easy to use. The NHS App will not replace existing services. You can still contact the GP surgery in the usual ways if you prefer.</w:t>
      </w:r>
    </w:p>
    <w:p w14:paraId="204874D4" w14:textId="16B6A3FD" w:rsidR="005B2483" w:rsidRDefault="005B2483" w:rsidP="005509A0">
      <w:pPr>
        <w:spacing w:after="0" w:line="240" w:lineRule="auto"/>
        <w:jc w:val="both"/>
        <w:rPr>
          <w:sz w:val="23"/>
          <w:szCs w:val="23"/>
        </w:rPr>
      </w:pPr>
    </w:p>
    <w:p w14:paraId="77BDD282" w14:textId="77777777" w:rsidR="005B2483" w:rsidRPr="004B78FF" w:rsidRDefault="005B2483"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1F33D83A"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B2483">
        <w:rPr>
          <w:sz w:val="23"/>
          <w:szCs w:val="23"/>
        </w:rPr>
        <w:t>November 2022</w:t>
      </w:r>
      <w:r w:rsidR="0000492A">
        <w:rPr>
          <w:sz w:val="23"/>
          <w:szCs w:val="23"/>
        </w:rPr>
        <w:t>.</w:t>
      </w:r>
    </w:p>
    <w:p w14:paraId="5853F5FC" w14:textId="77777777" w:rsidR="00155A0B" w:rsidRDefault="00155A0B" w:rsidP="00155A0B"/>
    <w:sectPr w:rsidR="00155A0B" w:rsidSect="007F67DF">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5D6" w14:textId="77777777" w:rsidR="005B2483" w:rsidRDefault="005B2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4E243E5A" w:rsidR="001243EC" w:rsidRDefault="001243EC">
    <w:pPr>
      <w:pStyle w:val="Footer"/>
    </w:pPr>
    <w:r>
      <w:t>GP Privacy Notice V1.</w:t>
    </w:r>
    <w:r w:rsidR="005B2483">
      <w:t>3</w:t>
    </w:r>
  </w:p>
  <w:p w14:paraId="73DF122C" w14:textId="76104A3C" w:rsidR="001243EC" w:rsidRDefault="005B2483">
    <w:pPr>
      <w:pStyle w:val="Footer"/>
    </w:pPr>
    <w:r>
      <w:t>November</w:t>
    </w:r>
    <w:r w:rsidR="0000492A">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2245" w14:textId="77777777" w:rsidR="005B2483" w:rsidRDefault="005B2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EBD3" w14:textId="77777777" w:rsidR="005B2483" w:rsidRDefault="005B2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5E6D" w14:textId="77777777" w:rsidR="005B2483" w:rsidRDefault="005B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065D" w14:textId="77777777" w:rsidR="005B2483" w:rsidRDefault="005B2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315683">
    <w:abstractNumId w:val="1"/>
  </w:num>
  <w:num w:numId="2" w16cid:durableId="85198029">
    <w:abstractNumId w:val="0"/>
  </w:num>
  <w:num w:numId="3" w16cid:durableId="324744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5B2483"/>
    <w:rsid w:val="006423FA"/>
    <w:rsid w:val="006F0239"/>
    <w:rsid w:val="00751CAF"/>
    <w:rsid w:val="007F67DF"/>
    <w:rsid w:val="00861BFF"/>
    <w:rsid w:val="008C66BF"/>
    <w:rsid w:val="008E4021"/>
    <w:rsid w:val="00955DF3"/>
    <w:rsid w:val="009573F4"/>
    <w:rsid w:val="00A6491A"/>
    <w:rsid w:val="00A77713"/>
    <w:rsid w:val="00A93784"/>
    <w:rsid w:val="00A96210"/>
    <w:rsid w:val="00B650BA"/>
    <w:rsid w:val="00BA2373"/>
    <w:rsid w:val="00C55E59"/>
    <w:rsid w:val="00C70831"/>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480">
      <w:bodyDiv w:val="1"/>
      <w:marLeft w:val="0"/>
      <w:marRight w:val="0"/>
      <w:marTop w:val="0"/>
      <w:marBottom w:val="0"/>
      <w:divBdr>
        <w:top w:val="none" w:sz="0" w:space="0" w:color="auto"/>
        <w:left w:val="none" w:sz="0" w:space="0" w:color="auto"/>
        <w:bottom w:val="none" w:sz="0" w:space="0" w:color="auto"/>
        <w:right w:val="none" w:sz="0" w:space="0" w:color="auto"/>
      </w:divBdr>
    </w:div>
    <w:div w:id="12123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your-nhs-data-matter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digital.nhs.uk/services/summary-care-records-scr/summary-care-record-supplementary-transparency-notice" TargetMode="External"/><Relationship Id="rId22" Type="http://schemas.openxmlformats.org/officeDocument/2006/relationships/hyperlink" Target="http://www.ico.gov.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ORCHESTON-FINDLAY, Emily (MCKENZIE GROUP PRACTICE)</cp:lastModifiedBy>
  <cp:revision>3</cp:revision>
  <dcterms:created xsi:type="dcterms:W3CDTF">2023-11-30T09:41:00Z</dcterms:created>
  <dcterms:modified xsi:type="dcterms:W3CDTF">2023-11-30T09:41:00Z</dcterms:modified>
</cp:coreProperties>
</file>